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9C" w:rsidRPr="00336EE9" w:rsidRDefault="00F3472B" w:rsidP="00E550A9">
      <w:pPr>
        <w:spacing w:after="0"/>
        <w:jc w:val="center"/>
        <w:rPr>
          <w:b/>
          <w:sz w:val="32"/>
          <w:szCs w:val="32"/>
        </w:rPr>
      </w:pPr>
      <w:r>
        <w:rPr>
          <w:b/>
          <w:sz w:val="32"/>
          <w:szCs w:val="32"/>
        </w:rPr>
        <w:t>Preguntas Frecuentes</w:t>
      </w:r>
      <w:r w:rsidR="00A97146">
        <w:rPr>
          <w:b/>
          <w:sz w:val="32"/>
          <w:szCs w:val="32"/>
        </w:rPr>
        <w:t xml:space="preserve"> “</w:t>
      </w:r>
      <w:r w:rsidR="00E148CE">
        <w:rPr>
          <w:b/>
          <w:sz w:val="32"/>
          <w:szCs w:val="32"/>
        </w:rPr>
        <w:t>PDA</w:t>
      </w:r>
      <w:r w:rsidR="00A97146">
        <w:rPr>
          <w:b/>
          <w:sz w:val="32"/>
          <w:szCs w:val="32"/>
        </w:rPr>
        <w:t>”</w:t>
      </w:r>
    </w:p>
    <w:p w:rsidR="001B03E7" w:rsidRDefault="001B03E7" w:rsidP="00E550A9">
      <w:pPr>
        <w:spacing w:after="0" w:line="24" w:lineRule="atLeast"/>
        <w:jc w:val="both"/>
        <w:rPr>
          <w:b/>
          <w:sz w:val="24"/>
          <w:szCs w:val="24"/>
        </w:rPr>
      </w:pPr>
    </w:p>
    <w:p w:rsidR="00B107E5" w:rsidRPr="004F1987" w:rsidRDefault="00B107E5" w:rsidP="00E550A9">
      <w:pPr>
        <w:spacing w:after="0" w:line="24" w:lineRule="atLeast"/>
        <w:jc w:val="both"/>
        <w:rPr>
          <w:b/>
          <w:sz w:val="24"/>
          <w:szCs w:val="24"/>
        </w:rPr>
      </w:pPr>
      <w:r w:rsidRPr="004F1987">
        <w:rPr>
          <w:b/>
          <w:sz w:val="24"/>
          <w:szCs w:val="24"/>
        </w:rPr>
        <w:t>¿Cuál es la d</w:t>
      </w:r>
      <w:r w:rsidR="00E148CE" w:rsidRPr="004F1987">
        <w:rPr>
          <w:b/>
          <w:sz w:val="24"/>
          <w:szCs w:val="24"/>
        </w:rPr>
        <w:t>efinición de población derechohabiente adscrita</w:t>
      </w:r>
      <w:r w:rsidRPr="004F1987">
        <w:rPr>
          <w:b/>
          <w:sz w:val="24"/>
          <w:szCs w:val="24"/>
        </w:rPr>
        <w:t>?</w:t>
      </w:r>
    </w:p>
    <w:p w:rsidR="007D3602" w:rsidRPr="004F1987" w:rsidRDefault="007D3602" w:rsidP="00E550A9">
      <w:pPr>
        <w:spacing w:after="0" w:line="24" w:lineRule="atLeast"/>
        <w:jc w:val="both"/>
        <w:rPr>
          <w:sz w:val="24"/>
          <w:szCs w:val="24"/>
        </w:rPr>
      </w:pPr>
    </w:p>
    <w:p w:rsidR="008E2C47" w:rsidRPr="004F1987" w:rsidRDefault="008E2C47" w:rsidP="001B03E7">
      <w:pPr>
        <w:spacing w:after="0" w:line="24" w:lineRule="atLeast"/>
        <w:jc w:val="both"/>
        <w:rPr>
          <w:rFonts w:cstheme="minorHAnsi"/>
          <w:sz w:val="24"/>
          <w:szCs w:val="24"/>
        </w:rPr>
      </w:pPr>
      <w:r w:rsidRPr="004F1987">
        <w:rPr>
          <w:rFonts w:cstheme="minorHAnsi"/>
          <w:sz w:val="24"/>
          <w:szCs w:val="24"/>
        </w:rPr>
        <w:t>Esta definición se encuentra disponible en los Glosarios de Datos Abiertos en:</w:t>
      </w:r>
      <w:r w:rsidR="001B03E7" w:rsidRPr="004F1987">
        <w:rPr>
          <w:sz w:val="24"/>
          <w:szCs w:val="24"/>
        </w:rPr>
        <w:t xml:space="preserve"> </w:t>
      </w:r>
    </w:p>
    <w:p w:rsidR="00566A2C" w:rsidRPr="004F1987" w:rsidRDefault="004F1987" w:rsidP="001B03E7">
      <w:pPr>
        <w:spacing w:after="0" w:line="24" w:lineRule="atLeast"/>
        <w:jc w:val="both"/>
        <w:rPr>
          <w:rFonts w:cstheme="minorHAnsi"/>
          <w:sz w:val="24"/>
          <w:szCs w:val="24"/>
        </w:rPr>
      </w:pPr>
      <w:hyperlink r:id="rId9" w:history="1">
        <w:r w:rsidR="00566A2C" w:rsidRPr="004F1987">
          <w:rPr>
            <w:rStyle w:val="Hipervnculo"/>
            <w:rFonts w:cstheme="minorHAnsi"/>
            <w:sz w:val="24"/>
            <w:szCs w:val="24"/>
          </w:rPr>
          <w:t>http://www2.imss.gob.mx/group/poblacion-derechohabiente-adscrita-pda</w:t>
        </w:r>
      </w:hyperlink>
    </w:p>
    <w:p w:rsidR="00566A2C" w:rsidRPr="004F1987" w:rsidRDefault="00566A2C" w:rsidP="001B03E7">
      <w:pPr>
        <w:spacing w:after="0" w:line="24" w:lineRule="atLeast"/>
        <w:jc w:val="both"/>
        <w:rPr>
          <w:rFonts w:cstheme="minorHAnsi"/>
          <w:sz w:val="24"/>
          <w:szCs w:val="24"/>
        </w:rPr>
      </w:pPr>
    </w:p>
    <w:p w:rsidR="009C0342" w:rsidRPr="004F1987" w:rsidRDefault="009C0342" w:rsidP="009C0342">
      <w:pPr>
        <w:spacing w:after="0" w:line="24" w:lineRule="atLeast"/>
        <w:jc w:val="both"/>
        <w:rPr>
          <w:b/>
          <w:sz w:val="24"/>
          <w:szCs w:val="24"/>
        </w:rPr>
      </w:pPr>
      <w:r w:rsidRPr="004F1987">
        <w:rPr>
          <w:b/>
          <w:sz w:val="24"/>
          <w:szCs w:val="24"/>
        </w:rPr>
        <w:t xml:space="preserve">¿Cuál es la periodicidad de publicación de </w:t>
      </w:r>
      <w:r w:rsidR="00565229" w:rsidRPr="004F1987">
        <w:rPr>
          <w:b/>
          <w:sz w:val="24"/>
          <w:szCs w:val="24"/>
        </w:rPr>
        <w:t xml:space="preserve">la </w:t>
      </w:r>
      <w:r w:rsidRPr="004F1987">
        <w:rPr>
          <w:b/>
          <w:sz w:val="24"/>
          <w:szCs w:val="24"/>
        </w:rPr>
        <w:t>información</w:t>
      </w:r>
      <w:r w:rsidR="00565229" w:rsidRPr="004F1987">
        <w:rPr>
          <w:b/>
          <w:sz w:val="24"/>
          <w:szCs w:val="24"/>
        </w:rPr>
        <w:t xml:space="preserve"> asociada a la población derechohabiente adscrita</w:t>
      </w:r>
      <w:r w:rsidRPr="004F1987">
        <w:rPr>
          <w:b/>
          <w:sz w:val="24"/>
          <w:szCs w:val="24"/>
        </w:rPr>
        <w:t xml:space="preserve">? </w:t>
      </w:r>
    </w:p>
    <w:p w:rsidR="009C0342" w:rsidRPr="004F1987" w:rsidRDefault="009C0342" w:rsidP="009C0342">
      <w:pPr>
        <w:spacing w:after="0" w:line="24" w:lineRule="atLeast"/>
        <w:jc w:val="both"/>
        <w:rPr>
          <w:sz w:val="24"/>
          <w:szCs w:val="24"/>
        </w:rPr>
      </w:pPr>
    </w:p>
    <w:p w:rsidR="009C0342" w:rsidRPr="004F1987" w:rsidRDefault="009C0342" w:rsidP="009C0342">
      <w:pPr>
        <w:spacing w:after="0" w:line="24" w:lineRule="atLeast"/>
        <w:jc w:val="both"/>
        <w:rPr>
          <w:sz w:val="24"/>
          <w:szCs w:val="24"/>
        </w:rPr>
      </w:pPr>
      <w:r w:rsidRPr="004F1987">
        <w:rPr>
          <w:sz w:val="24"/>
          <w:szCs w:val="24"/>
        </w:rPr>
        <w:t xml:space="preserve">Mensual. </w:t>
      </w:r>
    </w:p>
    <w:p w:rsidR="009C0342" w:rsidRPr="004F1987" w:rsidRDefault="009C0342" w:rsidP="009C0342">
      <w:pPr>
        <w:spacing w:after="0" w:line="24" w:lineRule="atLeast"/>
        <w:jc w:val="both"/>
        <w:rPr>
          <w:sz w:val="24"/>
          <w:szCs w:val="24"/>
        </w:rPr>
      </w:pPr>
    </w:p>
    <w:p w:rsidR="009C0342" w:rsidRPr="004F1987" w:rsidRDefault="009C0342" w:rsidP="009C0342">
      <w:pPr>
        <w:spacing w:after="0" w:line="24" w:lineRule="atLeast"/>
        <w:jc w:val="both"/>
        <w:rPr>
          <w:rFonts w:eastAsia="Calibri" w:cs="Times New Roman"/>
          <w:b/>
          <w:sz w:val="24"/>
          <w:szCs w:val="24"/>
        </w:rPr>
      </w:pPr>
      <w:r w:rsidRPr="004F1987">
        <w:rPr>
          <w:rFonts w:eastAsia="Calibri" w:cs="Times New Roman"/>
          <w:b/>
          <w:sz w:val="24"/>
          <w:szCs w:val="24"/>
        </w:rPr>
        <w:t xml:space="preserve">¿Todos los  </w:t>
      </w:r>
      <w:r w:rsidR="00E148CE" w:rsidRPr="004F1987">
        <w:rPr>
          <w:rFonts w:eastAsia="Calibri" w:cs="Times New Roman"/>
          <w:b/>
          <w:sz w:val="24"/>
          <w:szCs w:val="24"/>
        </w:rPr>
        <w:t>derechohabientes</w:t>
      </w:r>
      <w:r w:rsidRPr="004F1987">
        <w:rPr>
          <w:rFonts w:eastAsia="Calibri" w:cs="Times New Roman"/>
          <w:b/>
          <w:sz w:val="24"/>
          <w:szCs w:val="24"/>
        </w:rPr>
        <w:t xml:space="preserve"> </w:t>
      </w:r>
      <w:r w:rsidR="00565229" w:rsidRPr="004F1987">
        <w:rPr>
          <w:rFonts w:eastAsia="Calibri" w:cs="Times New Roman"/>
          <w:b/>
          <w:sz w:val="24"/>
          <w:szCs w:val="24"/>
        </w:rPr>
        <w:t xml:space="preserve">adscritos </w:t>
      </w:r>
      <w:r w:rsidRPr="004F1987">
        <w:rPr>
          <w:rFonts w:eastAsia="Calibri" w:cs="Times New Roman"/>
          <w:b/>
          <w:sz w:val="24"/>
          <w:szCs w:val="24"/>
        </w:rPr>
        <w:t xml:space="preserve">tienen asignado un </w:t>
      </w:r>
      <w:r w:rsidR="00E148CE" w:rsidRPr="004F1987">
        <w:rPr>
          <w:rFonts w:eastAsia="Calibri" w:cs="Times New Roman"/>
          <w:b/>
          <w:sz w:val="24"/>
          <w:szCs w:val="24"/>
        </w:rPr>
        <w:t>consultorio</w:t>
      </w:r>
      <w:r w:rsidRPr="004F1987">
        <w:rPr>
          <w:rFonts w:eastAsia="Calibri" w:cs="Times New Roman"/>
          <w:b/>
          <w:sz w:val="24"/>
          <w:szCs w:val="24"/>
        </w:rPr>
        <w:t>?</w:t>
      </w:r>
    </w:p>
    <w:p w:rsidR="009C0342" w:rsidRPr="004F1987" w:rsidRDefault="009C0342" w:rsidP="009C0342">
      <w:pPr>
        <w:spacing w:after="0" w:line="24" w:lineRule="atLeast"/>
        <w:jc w:val="both"/>
        <w:rPr>
          <w:rFonts w:eastAsia="Calibri" w:cs="Times New Roman"/>
          <w:sz w:val="24"/>
          <w:szCs w:val="24"/>
        </w:rPr>
      </w:pPr>
    </w:p>
    <w:p w:rsidR="009C0342" w:rsidRPr="004F1987" w:rsidRDefault="009C0342" w:rsidP="009C0342">
      <w:pPr>
        <w:spacing w:after="0" w:line="24" w:lineRule="atLeast"/>
        <w:jc w:val="both"/>
        <w:rPr>
          <w:sz w:val="24"/>
          <w:szCs w:val="24"/>
        </w:rPr>
      </w:pPr>
      <w:r w:rsidRPr="004F1987">
        <w:rPr>
          <w:rFonts w:cs="Arial"/>
          <w:sz w:val="24"/>
          <w:szCs w:val="24"/>
        </w:rPr>
        <w:t>No</w:t>
      </w:r>
      <w:r w:rsidR="008E2C47" w:rsidRPr="004F1987">
        <w:rPr>
          <w:rFonts w:cs="Arial"/>
          <w:sz w:val="24"/>
          <w:szCs w:val="24"/>
        </w:rPr>
        <w:t>.</w:t>
      </w:r>
      <w:r w:rsidRPr="004F1987">
        <w:rPr>
          <w:rFonts w:cs="Arial"/>
          <w:sz w:val="24"/>
          <w:szCs w:val="24"/>
        </w:rPr>
        <w:t xml:space="preserve"> </w:t>
      </w:r>
      <w:r w:rsidR="008E2C47" w:rsidRPr="004F1987">
        <w:rPr>
          <w:rFonts w:cs="Arial"/>
          <w:sz w:val="24"/>
          <w:szCs w:val="24"/>
        </w:rPr>
        <w:t>H</w:t>
      </w:r>
      <w:r w:rsidR="00E148CE" w:rsidRPr="004F1987">
        <w:rPr>
          <w:rFonts w:cs="Arial"/>
          <w:sz w:val="24"/>
          <w:szCs w:val="24"/>
        </w:rPr>
        <w:t xml:space="preserve">ay derechohabientes que </w:t>
      </w:r>
      <w:r w:rsidR="008E2C47" w:rsidRPr="004F1987">
        <w:rPr>
          <w:rFonts w:cs="Arial"/>
          <w:sz w:val="24"/>
          <w:szCs w:val="24"/>
        </w:rPr>
        <w:t xml:space="preserve">aunque </w:t>
      </w:r>
      <w:r w:rsidR="00FF3744" w:rsidRPr="004F1987">
        <w:rPr>
          <w:rFonts w:cs="Arial"/>
          <w:sz w:val="24"/>
          <w:szCs w:val="24"/>
        </w:rPr>
        <w:t>adscritos a</w:t>
      </w:r>
      <w:r w:rsidR="00E148CE" w:rsidRPr="004F1987">
        <w:rPr>
          <w:rFonts w:cs="Arial"/>
          <w:sz w:val="24"/>
          <w:szCs w:val="24"/>
        </w:rPr>
        <w:t xml:space="preserve"> una clínica, nunca se han presentado a consulta y </w:t>
      </w:r>
      <w:r w:rsidR="008E2C47" w:rsidRPr="004F1987">
        <w:rPr>
          <w:rFonts w:cs="Arial"/>
          <w:sz w:val="24"/>
          <w:szCs w:val="24"/>
        </w:rPr>
        <w:t>por tanto no tienen asignado un</w:t>
      </w:r>
      <w:r w:rsidR="00E148CE" w:rsidRPr="004F1987">
        <w:rPr>
          <w:rFonts w:cs="Arial"/>
          <w:sz w:val="24"/>
          <w:szCs w:val="24"/>
        </w:rPr>
        <w:t xml:space="preserve"> consultorio</w:t>
      </w:r>
      <w:r w:rsidRPr="004F1987">
        <w:rPr>
          <w:sz w:val="24"/>
          <w:szCs w:val="24"/>
        </w:rPr>
        <w:t>.</w:t>
      </w:r>
      <w:r w:rsidR="00E148CE" w:rsidRPr="004F1987">
        <w:rPr>
          <w:sz w:val="24"/>
          <w:szCs w:val="24"/>
        </w:rPr>
        <w:t xml:space="preserve"> </w:t>
      </w:r>
      <w:r w:rsidR="008E2C47" w:rsidRPr="004F1987">
        <w:rPr>
          <w:sz w:val="24"/>
          <w:szCs w:val="24"/>
        </w:rPr>
        <w:t>Las bases de datos abiertos relativas a la población derechohabiente adscrita</w:t>
      </w:r>
      <w:r w:rsidR="00E148CE" w:rsidRPr="004F1987">
        <w:rPr>
          <w:sz w:val="24"/>
          <w:szCs w:val="24"/>
        </w:rPr>
        <w:t xml:space="preserve"> permite</w:t>
      </w:r>
      <w:r w:rsidR="008E2C47" w:rsidRPr="004F1987">
        <w:rPr>
          <w:sz w:val="24"/>
          <w:szCs w:val="24"/>
        </w:rPr>
        <w:t>n</w:t>
      </w:r>
      <w:r w:rsidR="00E148CE" w:rsidRPr="004F1987">
        <w:rPr>
          <w:sz w:val="24"/>
          <w:szCs w:val="24"/>
        </w:rPr>
        <w:t xml:space="preserve"> </w:t>
      </w:r>
      <w:r w:rsidR="008E2C47" w:rsidRPr="004F1987">
        <w:rPr>
          <w:sz w:val="24"/>
          <w:szCs w:val="24"/>
        </w:rPr>
        <w:t xml:space="preserve">contabilizar tanto a los derechohabientes adscritos a clínica, como aquellos </w:t>
      </w:r>
      <w:r w:rsidR="00FF3744" w:rsidRPr="004F1987">
        <w:rPr>
          <w:sz w:val="24"/>
          <w:szCs w:val="24"/>
        </w:rPr>
        <w:t xml:space="preserve">que tienen </w:t>
      </w:r>
      <w:r w:rsidR="00E148CE" w:rsidRPr="004F1987">
        <w:rPr>
          <w:sz w:val="24"/>
          <w:szCs w:val="24"/>
        </w:rPr>
        <w:t>a</w:t>
      </w:r>
      <w:r w:rsidR="00FF3744" w:rsidRPr="004F1987">
        <w:rPr>
          <w:sz w:val="24"/>
          <w:szCs w:val="24"/>
        </w:rPr>
        <w:t>signado un</w:t>
      </w:r>
      <w:r w:rsidR="00E148CE" w:rsidRPr="004F1987">
        <w:rPr>
          <w:sz w:val="24"/>
          <w:szCs w:val="24"/>
        </w:rPr>
        <w:t xml:space="preserve"> consultorio.</w:t>
      </w:r>
    </w:p>
    <w:p w:rsidR="00D03370" w:rsidRPr="004F1987" w:rsidRDefault="00D03370" w:rsidP="00E550A9">
      <w:pPr>
        <w:spacing w:after="0" w:line="24" w:lineRule="atLeast"/>
        <w:jc w:val="both"/>
        <w:rPr>
          <w:sz w:val="24"/>
          <w:szCs w:val="24"/>
        </w:rPr>
      </w:pPr>
    </w:p>
    <w:p w:rsidR="00D53384" w:rsidRPr="004F1987" w:rsidRDefault="00D53384" w:rsidP="00E550A9">
      <w:pPr>
        <w:spacing w:after="0" w:line="24" w:lineRule="atLeast"/>
        <w:jc w:val="both"/>
        <w:rPr>
          <w:b/>
          <w:sz w:val="24"/>
          <w:szCs w:val="24"/>
        </w:rPr>
      </w:pPr>
      <w:r w:rsidRPr="004F1987">
        <w:rPr>
          <w:b/>
          <w:sz w:val="24"/>
          <w:szCs w:val="24"/>
        </w:rPr>
        <w:t>¿Se dispone de cifras de población derechohabiente adscrita del IMSS a nivel</w:t>
      </w:r>
      <w:r w:rsidR="00890AF0" w:rsidRPr="004F1987">
        <w:rPr>
          <w:b/>
          <w:sz w:val="24"/>
          <w:szCs w:val="24"/>
        </w:rPr>
        <w:t xml:space="preserve"> </w:t>
      </w:r>
      <w:r w:rsidRPr="004F1987">
        <w:rPr>
          <w:b/>
          <w:sz w:val="24"/>
          <w:szCs w:val="24"/>
        </w:rPr>
        <w:t>municipal?</w:t>
      </w:r>
    </w:p>
    <w:p w:rsidR="00D53384" w:rsidRPr="004F1987" w:rsidRDefault="00D53384" w:rsidP="00E550A9">
      <w:pPr>
        <w:spacing w:after="0" w:line="24" w:lineRule="atLeast"/>
        <w:jc w:val="both"/>
        <w:rPr>
          <w:sz w:val="24"/>
          <w:szCs w:val="24"/>
        </w:rPr>
      </w:pPr>
    </w:p>
    <w:p w:rsidR="00D53384" w:rsidRPr="004F1987" w:rsidRDefault="00FF3744" w:rsidP="004E474B">
      <w:pPr>
        <w:spacing w:after="0" w:line="24" w:lineRule="atLeast"/>
        <w:jc w:val="both"/>
        <w:rPr>
          <w:rStyle w:val="Hipervnculo"/>
          <w:sz w:val="24"/>
          <w:szCs w:val="24"/>
        </w:rPr>
      </w:pPr>
      <w:r w:rsidRPr="004F1987">
        <w:rPr>
          <w:sz w:val="24"/>
          <w:szCs w:val="24"/>
        </w:rPr>
        <w:t xml:space="preserve">No. </w:t>
      </w:r>
      <w:r w:rsidR="00E148CE" w:rsidRPr="004F1987">
        <w:rPr>
          <w:sz w:val="24"/>
          <w:szCs w:val="24"/>
        </w:rPr>
        <w:t xml:space="preserve">La información </w:t>
      </w:r>
      <w:r w:rsidRPr="004F1987">
        <w:rPr>
          <w:sz w:val="24"/>
          <w:szCs w:val="24"/>
        </w:rPr>
        <w:t xml:space="preserve">geográfica </w:t>
      </w:r>
      <w:r w:rsidR="00E148CE" w:rsidRPr="004F1987">
        <w:rPr>
          <w:sz w:val="24"/>
          <w:szCs w:val="24"/>
        </w:rPr>
        <w:t xml:space="preserve">de </w:t>
      </w:r>
      <w:r w:rsidR="00D53384" w:rsidRPr="004F1987">
        <w:rPr>
          <w:sz w:val="24"/>
          <w:szCs w:val="24"/>
        </w:rPr>
        <w:t xml:space="preserve">población derechohabiente adscrita </w:t>
      </w:r>
      <w:r w:rsidRPr="004F1987">
        <w:rPr>
          <w:sz w:val="24"/>
          <w:szCs w:val="24"/>
        </w:rPr>
        <w:t xml:space="preserve">más desagregada con la que se dispone refiere a la clínica de adscripción del derechohabiente. Sin embargo, el municipio asociado a cada clínica puede obtenerse </w:t>
      </w:r>
      <w:r w:rsidR="00D53384" w:rsidRPr="004F1987">
        <w:rPr>
          <w:sz w:val="24"/>
          <w:szCs w:val="24"/>
        </w:rPr>
        <w:t xml:space="preserve">del directorio de </w:t>
      </w:r>
      <w:r w:rsidR="00034DFD" w:rsidRPr="004F1987">
        <w:rPr>
          <w:sz w:val="24"/>
          <w:szCs w:val="24"/>
        </w:rPr>
        <w:t xml:space="preserve">unidades de medicina familiar </w:t>
      </w:r>
      <w:r w:rsidR="00D53384" w:rsidRPr="004F1987">
        <w:rPr>
          <w:sz w:val="24"/>
          <w:szCs w:val="24"/>
        </w:rPr>
        <w:t xml:space="preserve">publicado por el área médica </w:t>
      </w:r>
      <w:r w:rsidR="00034DFD" w:rsidRPr="004F1987">
        <w:rPr>
          <w:sz w:val="24"/>
          <w:szCs w:val="24"/>
        </w:rPr>
        <w:t xml:space="preserve">del IMSS </w:t>
      </w:r>
      <w:r w:rsidR="00D53384" w:rsidRPr="004F1987">
        <w:rPr>
          <w:sz w:val="24"/>
          <w:szCs w:val="24"/>
        </w:rPr>
        <w:t xml:space="preserve">en </w:t>
      </w:r>
      <w:hyperlink r:id="rId10" w:history="1">
        <w:r w:rsidR="001B03E7" w:rsidRPr="004F1987">
          <w:rPr>
            <w:rStyle w:val="Hipervnculo"/>
            <w:sz w:val="24"/>
            <w:szCs w:val="24"/>
          </w:rPr>
          <w:t>http://www.imss.gob.mx/directorio/Pages/Instalaciones</w:t>
        </w:r>
      </w:hyperlink>
      <w:r w:rsidRPr="004F1987">
        <w:rPr>
          <w:rStyle w:val="Hipervnculo"/>
          <w:sz w:val="24"/>
          <w:szCs w:val="24"/>
        </w:rPr>
        <w:t>.</w:t>
      </w:r>
    </w:p>
    <w:p w:rsidR="00D53384" w:rsidRPr="004F1987" w:rsidRDefault="00D53384" w:rsidP="004E474B">
      <w:pPr>
        <w:spacing w:after="0" w:line="24" w:lineRule="atLeast"/>
        <w:jc w:val="both"/>
        <w:rPr>
          <w:sz w:val="24"/>
          <w:szCs w:val="24"/>
        </w:rPr>
      </w:pPr>
    </w:p>
    <w:p w:rsidR="009C0342" w:rsidRPr="004F1987" w:rsidRDefault="009C0342" w:rsidP="009C0342">
      <w:pPr>
        <w:spacing w:after="0" w:line="24" w:lineRule="atLeast"/>
        <w:jc w:val="both"/>
        <w:rPr>
          <w:b/>
          <w:sz w:val="24"/>
          <w:szCs w:val="24"/>
        </w:rPr>
      </w:pPr>
      <w:r w:rsidRPr="004F1987">
        <w:rPr>
          <w:b/>
          <w:sz w:val="24"/>
          <w:szCs w:val="24"/>
        </w:rPr>
        <w:t>¿Cuántas delegaciones y subdelegaciones</w:t>
      </w:r>
      <w:r w:rsidR="00565229" w:rsidRPr="004F1987">
        <w:rPr>
          <w:b/>
          <w:sz w:val="24"/>
          <w:szCs w:val="24"/>
        </w:rPr>
        <w:t xml:space="preserve"> de adscripción </w:t>
      </w:r>
      <w:proofErr w:type="gramStart"/>
      <w:r w:rsidR="00565229" w:rsidRPr="004F1987">
        <w:rPr>
          <w:b/>
          <w:sz w:val="24"/>
          <w:szCs w:val="24"/>
        </w:rPr>
        <w:t>tiene</w:t>
      </w:r>
      <w:proofErr w:type="gramEnd"/>
      <w:r w:rsidR="00565229" w:rsidRPr="004F1987">
        <w:rPr>
          <w:b/>
          <w:sz w:val="24"/>
          <w:szCs w:val="24"/>
        </w:rPr>
        <w:t xml:space="preserve"> el IMSS</w:t>
      </w:r>
      <w:r w:rsidRPr="004F1987">
        <w:rPr>
          <w:b/>
          <w:sz w:val="24"/>
          <w:szCs w:val="24"/>
        </w:rPr>
        <w:t>?</w:t>
      </w:r>
    </w:p>
    <w:p w:rsidR="009C0342" w:rsidRPr="004F1987" w:rsidRDefault="009C0342" w:rsidP="009C0342">
      <w:pPr>
        <w:spacing w:after="0" w:line="24" w:lineRule="atLeast"/>
        <w:jc w:val="both"/>
        <w:rPr>
          <w:sz w:val="24"/>
          <w:szCs w:val="24"/>
        </w:rPr>
      </w:pPr>
    </w:p>
    <w:p w:rsidR="009C0342" w:rsidRPr="004F1987" w:rsidRDefault="009C0342" w:rsidP="009C0342">
      <w:pPr>
        <w:spacing w:after="0" w:line="24" w:lineRule="atLeast"/>
        <w:jc w:val="both"/>
        <w:rPr>
          <w:sz w:val="24"/>
          <w:szCs w:val="24"/>
        </w:rPr>
      </w:pPr>
      <w:r w:rsidRPr="004F1987">
        <w:rPr>
          <w:sz w:val="24"/>
          <w:szCs w:val="24"/>
        </w:rPr>
        <w:t>El IMSS</w:t>
      </w:r>
      <w:r w:rsidR="001913A4" w:rsidRPr="004F1987">
        <w:rPr>
          <w:sz w:val="24"/>
          <w:szCs w:val="24"/>
        </w:rPr>
        <w:t>,</w:t>
      </w:r>
      <w:r w:rsidRPr="004F1987">
        <w:rPr>
          <w:sz w:val="24"/>
          <w:szCs w:val="24"/>
        </w:rPr>
        <w:t xml:space="preserve"> dentro de su estructura orgánica, tiene 35 delegaciones y 133 subdelegaciones definidas en el documento “catálogo de archivos” disponible en </w:t>
      </w:r>
      <w:hyperlink r:id="rId11" w:history="1">
        <w:r w:rsidR="00566A2C" w:rsidRPr="004F1987">
          <w:rPr>
            <w:rStyle w:val="Hipervnculo"/>
            <w:sz w:val="24"/>
            <w:szCs w:val="24"/>
          </w:rPr>
          <w:t>http://www2.imss.gob.mx/group/poblacion-derechohabiente-adscrita-pda</w:t>
        </w:r>
      </w:hyperlink>
      <w:r w:rsidRPr="004F1987">
        <w:rPr>
          <w:sz w:val="24"/>
          <w:szCs w:val="24"/>
        </w:rPr>
        <w:t>.</w:t>
      </w:r>
    </w:p>
    <w:p w:rsidR="009C0342" w:rsidRPr="004F1987" w:rsidRDefault="009C0342" w:rsidP="009C0342">
      <w:pPr>
        <w:pStyle w:val="Prrafodelista"/>
        <w:spacing w:after="0" w:line="24" w:lineRule="atLeast"/>
        <w:ind w:left="0"/>
        <w:jc w:val="both"/>
        <w:rPr>
          <w:sz w:val="24"/>
          <w:szCs w:val="24"/>
        </w:rPr>
      </w:pPr>
    </w:p>
    <w:p w:rsidR="009C0342" w:rsidRPr="004F1987" w:rsidRDefault="00D53384" w:rsidP="009C0342">
      <w:pPr>
        <w:spacing w:after="0" w:line="24" w:lineRule="atLeast"/>
        <w:jc w:val="both"/>
        <w:rPr>
          <w:b/>
          <w:sz w:val="24"/>
          <w:szCs w:val="24"/>
        </w:rPr>
      </w:pPr>
      <w:r w:rsidRPr="004F1987">
        <w:rPr>
          <w:b/>
          <w:sz w:val="24"/>
          <w:szCs w:val="24"/>
        </w:rPr>
        <w:t>¿En l</w:t>
      </w:r>
      <w:r w:rsidR="009C0342" w:rsidRPr="004F1987">
        <w:rPr>
          <w:b/>
          <w:sz w:val="24"/>
          <w:szCs w:val="24"/>
        </w:rPr>
        <w:t xml:space="preserve">a dimensión </w:t>
      </w:r>
      <w:r w:rsidRPr="004F1987">
        <w:rPr>
          <w:b/>
          <w:sz w:val="24"/>
          <w:szCs w:val="24"/>
        </w:rPr>
        <w:t xml:space="preserve">de </w:t>
      </w:r>
      <w:r w:rsidR="009C0342" w:rsidRPr="004F1987">
        <w:rPr>
          <w:b/>
          <w:sz w:val="24"/>
          <w:szCs w:val="24"/>
        </w:rPr>
        <w:t xml:space="preserve">rango de edad </w:t>
      </w:r>
      <w:r w:rsidRPr="004F1987">
        <w:rPr>
          <w:b/>
          <w:sz w:val="24"/>
          <w:szCs w:val="24"/>
        </w:rPr>
        <w:t>qué significado tiene el valor de N</w:t>
      </w:r>
      <w:r w:rsidR="00890AF0" w:rsidRPr="004F1987">
        <w:rPr>
          <w:b/>
          <w:sz w:val="24"/>
          <w:szCs w:val="24"/>
        </w:rPr>
        <w:t>D</w:t>
      </w:r>
      <w:r w:rsidR="009C0342" w:rsidRPr="004F1987">
        <w:rPr>
          <w:b/>
          <w:sz w:val="24"/>
          <w:szCs w:val="24"/>
        </w:rPr>
        <w:t>?</w:t>
      </w:r>
    </w:p>
    <w:p w:rsidR="009C0342" w:rsidRPr="004F1987" w:rsidRDefault="009C0342" w:rsidP="009C0342">
      <w:pPr>
        <w:spacing w:after="0" w:line="24" w:lineRule="atLeast"/>
        <w:jc w:val="both"/>
        <w:rPr>
          <w:sz w:val="24"/>
          <w:szCs w:val="24"/>
        </w:rPr>
      </w:pPr>
    </w:p>
    <w:p w:rsidR="009C0342" w:rsidRPr="004F1987" w:rsidRDefault="00D53384" w:rsidP="009C0342">
      <w:pPr>
        <w:spacing w:after="0" w:line="24" w:lineRule="atLeast"/>
        <w:jc w:val="both"/>
        <w:rPr>
          <w:sz w:val="24"/>
          <w:szCs w:val="24"/>
        </w:rPr>
      </w:pPr>
      <w:r w:rsidRPr="004F1987">
        <w:rPr>
          <w:sz w:val="24"/>
          <w:szCs w:val="24"/>
        </w:rPr>
        <w:t>N</w:t>
      </w:r>
      <w:r w:rsidR="00890AF0" w:rsidRPr="004F1987">
        <w:rPr>
          <w:sz w:val="24"/>
          <w:szCs w:val="24"/>
        </w:rPr>
        <w:t>D</w:t>
      </w:r>
      <w:r w:rsidRPr="004F1987">
        <w:rPr>
          <w:sz w:val="24"/>
          <w:szCs w:val="24"/>
        </w:rPr>
        <w:t xml:space="preserve"> </w:t>
      </w:r>
      <w:r w:rsidR="001913A4" w:rsidRPr="004F1987">
        <w:rPr>
          <w:sz w:val="24"/>
          <w:szCs w:val="24"/>
        </w:rPr>
        <w:t>es</w:t>
      </w:r>
      <w:r w:rsidRPr="004F1987">
        <w:rPr>
          <w:sz w:val="24"/>
          <w:szCs w:val="24"/>
        </w:rPr>
        <w:t xml:space="preserve"> </w:t>
      </w:r>
      <w:r w:rsidR="009D0CE0" w:rsidRPr="004F1987">
        <w:rPr>
          <w:sz w:val="24"/>
          <w:szCs w:val="24"/>
        </w:rPr>
        <w:t>No Disponible</w:t>
      </w:r>
      <w:r w:rsidRPr="004F1987">
        <w:rPr>
          <w:sz w:val="24"/>
          <w:szCs w:val="24"/>
        </w:rPr>
        <w:t>, y refiere a</w:t>
      </w:r>
      <w:r w:rsidR="00401609" w:rsidRPr="004F1987">
        <w:rPr>
          <w:sz w:val="24"/>
          <w:szCs w:val="24"/>
        </w:rPr>
        <w:t xml:space="preserve"> derechohabientes de los que no se dispone de la fecha de nacimiento</w:t>
      </w:r>
      <w:r w:rsidR="001913A4" w:rsidRPr="004F1987">
        <w:rPr>
          <w:sz w:val="24"/>
          <w:szCs w:val="24"/>
        </w:rPr>
        <w:t>, ya sea</w:t>
      </w:r>
      <w:r w:rsidR="00401609" w:rsidRPr="004F1987">
        <w:rPr>
          <w:sz w:val="24"/>
          <w:szCs w:val="24"/>
        </w:rPr>
        <w:t xml:space="preserve"> por omisión del propio derechohabiente o por inconsistencias en </w:t>
      </w:r>
      <w:r w:rsidR="009D0CE0" w:rsidRPr="004F1987">
        <w:rPr>
          <w:sz w:val="24"/>
          <w:szCs w:val="24"/>
        </w:rPr>
        <w:t xml:space="preserve">la </w:t>
      </w:r>
      <w:r w:rsidR="00401609" w:rsidRPr="004F1987">
        <w:rPr>
          <w:sz w:val="24"/>
          <w:szCs w:val="24"/>
        </w:rPr>
        <w:t>fecha</w:t>
      </w:r>
      <w:r w:rsidR="009D0CE0" w:rsidRPr="004F1987">
        <w:rPr>
          <w:sz w:val="24"/>
          <w:szCs w:val="24"/>
        </w:rPr>
        <w:t xml:space="preserve"> proporcionada</w:t>
      </w:r>
      <w:r w:rsidR="00401609" w:rsidRPr="004F1987">
        <w:rPr>
          <w:sz w:val="24"/>
          <w:szCs w:val="24"/>
        </w:rPr>
        <w:t>. Los derechohabientes en la modalidad 32 (Seguro Facultativo) también se contabilizan en esta categoría.</w:t>
      </w:r>
    </w:p>
    <w:p w:rsidR="009C0342" w:rsidRPr="004F1987" w:rsidRDefault="009C0342" w:rsidP="009C0342">
      <w:pPr>
        <w:spacing w:after="0" w:line="24" w:lineRule="atLeast"/>
        <w:jc w:val="both"/>
        <w:rPr>
          <w:sz w:val="24"/>
          <w:szCs w:val="24"/>
        </w:rPr>
      </w:pPr>
    </w:p>
    <w:p w:rsidR="004219DC" w:rsidRPr="004F1987" w:rsidRDefault="004219DC">
      <w:pPr>
        <w:rPr>
          <w:b/>
          <w:sz w:val="24"/>
          <w:szCs w:val="24"/>
        </w:rPr>
      </w:pPr>
      <w:r w:rsidRPr="004F1987">
        <w:rPr>
          <w:b/>
          <w:sz w:val="24"/>
          <w:szCs w:val="24"/>
        </w:rPr>
        <w:br w:type="page"/>
      </w:r>
    </w:p>
    <w:p w:rsidR="00153FDB" w:rsidRPr="004F1987" w:rsidRDefault="00153FDB" w:rsidP="00153FDB">
      <w:pPr>
        <w:spacing w:after="0" w:line="24" w:lineRule="atLeast"/>
        <w:jc w:val="both"/>
        <w:rPr>
          <w:b/>
          <w:sz w:val="24"/>
          <w:szCs w:val="24"/>
        </w:rPr>
      </w:pPr>
      <w:r w:rsidRPr="004F1987">
        <w:rPr>
          <w:b/>
          <w:sz w:val="24"/>
          <w:szCs w:val="24"/>
        </w:rPr>
        <w:lastRenderedPageBreak/>
        <w:t xml:space="preserve">¿Cuál es la periodicidad de publicación de esta información? </w:t>
      </w:r>
    </w:p>
    <w:p w:rsidR="00153FDB" w:rsidRPr="004F1987" w:rsidRDefault="00153FDB" w:rsidP="00153FDB">
      <w:pPr>
        <w:spacing w:after="0" w:line="24" w:lineRule="atLeast"/>
        <w:jc w:val="both"/>
        <w:rPr>
          <w:sz w:val="24"/>
          <w:szCs w:val="24"/>
        </w:rPr>
      </w:pPr>
    </w:p>
    <w:p w:rsidR="00153FDB" w:rsidRPr="004F1987" w:rsidRDefault="00153FDB" w:rsidP="00153FDB">
      <w:pPr>
        <w:spacing w:after="0" w:line="24" w:lineRule="atLeast"/>
        <w:jc w:val="both"/>
        <w:rPr>
          <w:sz w:val="24"/>
          <w:szCs w:val="24"/>
        </w:rPr>
      </w:pPr>
      <w:r w:rsidRPr="004F1987">
        <w:rPr>
          <w:sz w:val="24"/>
          <w:szCs w:val="24"/>
        </w:rPr>
        <w:t xml:space="preserve">Mensual. </w:t>
      </w:r>
    </w:p>
    <w:p w:rsidR="00153FDB" w:rsidRPr="004F1987" w:rsidRDefault="00153FDB" w:rsidP="00153FDB">
      <w:pPr>
        <w:spacing w:after="0" w:line="24" w:lineRule="atLeast"/>
        <w:jc w:val="both"/>
        <w:rPr>
          <w:sz w:val="24"/>
          <w:szCs w:val="24"/>
        </w:rPr>
      </w:pPr>
    </w:p>
    <w:p w:rsidR="00153FDB" w:rsidRPr="004F1987" w:rsidRDefault="00153FDB" w:rsidP="00153FDB">
      <w:pPr>
        <w:spacing w:after="0" w:line="24" w:lineRule="atLeast"/>
        <w:jc w:val="both"/>
        <w:rPr>
          <w:b/>
          <w:sz w:val="24"/>
          <w:szCs w:val="24"/>
        </w:rPr>
      </w:pPr>
      <w:r w:rsidRPr="004F1987">
        <w:rPr>
          <w:b/>
          <w:sz w:val="24"/>
          <w:szCs w:val="24"/>
        </w:rPr>
        <w:t>¿Es lo mismo el campo de delegación de adscripción al IMSS y el de entidad federativa?</w:t>
      </w:r>
    </w:p>
    <w:p w:rsidR="00153FDB" w:rsidRPr="004F1987" w:rsidRDefault="00153FDB" w:rsidP="00153FDB">
      <w:pPr>
        <w:spacing w:after="0" w:line="24" w:lineRule="atLeast"/>
        <w:jc w:val="both"/>
        <w:rPr>
          <w:sz w:val="24"/>
          <w:szCs w:val="24"/>
        </w:rPr>
      </w:pPr>
    </w:p>
    <w:p w:rsidR="00153FDB" w:rsidRPr="004F1987" w:rsidRDefault="00153FDB" w:rsidP="009D0CE0">
      <w:pPr>
        <w:spacing w:after="0" w:line="24" w:lineRule="atLeast"/>
        <w:jc w:val="both"/>
        <w:rPr>
          <w:sz w:val="24"/>
          <w:szCs w:val="24"/>
        </w:rPr>
      </w:pPr>
      <w:r w:rsidRPr="004F1987">
        <w:rPr>
          <w:sz w:val="24"/>
          <w:szCs w:val="24"/>
        </w:rPr>
        <w:t xml:space="preserve">No. El dato delegacional corresponde al ámbito de circunscripción de las delegaciones de adscripción al IMSS. El dato por entidad federativa corresponde a la demarcación geográfica de cada estado. </w:t>
      </w:r>
      <w:r w:rsidR="009D0CE0" w:rsidRPr="004F1987">
        <w:rPr>
          <w:sz w:val="24"/>
          <w:szCs w:val="24"/>
        </w:rPr>
        <w:t>A</w:t>
      </w:r>
      <w:r w:rsidRPr="004F1987">
        <w:rPr>
          <w:sz w:val="24"/>
          <w:szCs w:val="24"/>
        </w:rPr>
        <w:t xml:space="preserve">lgunas entidades están asociadas a más de una delegación. </w:t>
      </w:r>
      <w:r w:rsidR="00BD2490" w:rsidRPr="004F1987">
        <w:rPr>
          <w:sz w:val="24"/>
          <w:szCs w:val="24"/>
        </w:rPr>
        <w:t xml:space="preserve">Por ejemplo, el municipio O61 de </w:t>
      </w:r>
      <w:proofErr w:type="spellStart"/>
      <w:r w:rsidR="00BD2490" w:rsidRPr="004F1987">
        <w:rPr>
          <w:sz w:val="24"/>
          <w:szCs w:val="24"/>
        </w:rPr>
        <w:t>Chinicuila</w:t>
      </w:r>
      <w:proofErr w:type="spellEnd"/>
      <w:r w:rsidR="00BD2490" w:rsidRPr="004F1987">
        <w:rPr>
          <w:sz w:val="24"/>
          <w:szCs w:val="24"/>
        </w:rPr>
        <w:t xml:space="preserve"> en el estado de Michoacán de Ocampo está asociado a la delegación de adscripción  IMSS de Colima</w:t>
      </w:r>
      <w:r w:rsidRPr="004F1987">
        <w:rPr>
          <w:sz w:val="24"/>
          <w:szCs w:val="24"/>
        </w:rPr>
        <w:t>.</w:t>
      </w:r>
    </w:p>
    <w:p w:rsidR="00153FDB" w:rsidRPr="004F1987" w:rsidRDefault="00153FDB" w:rsidP="00153FDB">
      <w:pPr>
        <w:spacing w:after="0" w:line="24" w:lineRule="atLeast"/>
        <w:jc w:val="both"/>
        <w:rPr>
          <w:sz w:val="24"/>
          <w:szCs w:val="24"/>
        </w:rPr>
      </w:pPr>
    </w:p>
    <w:p w:rsidR="00153FDB" w:rsidRPr="004F1987" w:rsidRDefault="009D0CE0" w:rsidP="009D0CE0">
      <w:pPr>
        <w:spacing w:after="0" w:line="24" w:lineRule="atLeast"/>
        <w:jc w:val="both"/>
        <w:rPr>
          <w:sz w:val="24"/>
          <w:szCs w:val="24"/>
        </w:rPr>
      </w:pPr>
      <w:r w:rsidRPr="004F1987">
        <w:rPr>
          <w:sz w:val="24"/>
          <w:szCs w:val="24"/>
        </w:rPr>
        <w:t xml:space="preserve">El catálogo de entidad-municipio, está disponible en </w:t>
      </w:r>
      <w:hyperlink r:id="rId12" w:history="1">
        <w:r w:rsidR="00BD2490" w:rsidRPr="004F1987">
          <w:rPr>
            <w:rStyle w:val="Hipervnculo"/>
            <w:sz w:val="24"/>
            <w:szCs w:val="24"/>
          </w:rPr>
          <w:t>http://www2.imss.gob.mx/group/poblacion-derechohabiente-adscrita-pda</w:t>
        </w:r>
      </w:hyperlink>
      <w:r w:rsidRPr="004F1987">
        <w:rPr>
          <w:sz w:val="24"/>
          <w:szCs w:val="24"/>
        </w:rPr>
        <w:t xml:space="preserve">, y la información de adscripción de cada delegación se puede consultar en el Reglamento de Organización Interna del Instituto Mexicano del Seguro Social en la sección tercera de la circunscripción territorial (artículo 155) publicado en el Diario Oficial de la Federación el 23 de agosto de 2012, en </w:t>
      </w:r>
      <w:r w:rsidRPr="004F1987">
        <w:rPr>
          <w:rStyle w:val="Hipervnculo"/>
          <w:sz w:val="24"/>
          <w:szCs w:val="24"/>
        </w:rPr>
        <w:t>http://www.imss.gob.mx/sites/all/statics/pdf/reglamentos/RIIMSS.pdf.</w:t>
      </w:r>
    </w:p>
    <w:p w:rsidR="00153FDB" w:rsidRPr="004F1987" w:rsidRDefault="00153FDB" w:rsidP="004442B2">
      <w:pPr>
        <w:spacing w:after="0" w:line="24" w:lineRule="atLeast"/>
        <w:jc w:val="both"/>
        <w:rPr>
          <w:b/>
          <w:sz w:val="24"/>
          <w:szCs w:val="24"/>
        </w:rPr>
      </w:pPr>
    </w:p>
    <w:p w:rsidR="004442B2" w:rsidRPr="004F1987" w:rsidRDefault="004442B2" w:rsidP="004442B2">
      <w:pPr>
        <w:spacing w:after="0" w:line="24" w:lineRule="atLeast"/>
        <w:jc w:val="both"/>
        <w:rPr>
          <w:b/>
          <w:sz w:val="24"/>
          <w:szCs w:val="24"/>
        </w:rPr>
      </w:pPr>
      <w:r w:rsidRPr="004F1987">
        <w:rPr>
          <w:b/>
          <w:sz w:val="24"/>
          <w:szCs w:val="24"/>
        </w:rPr>
        <w:t>¿Cómo puedo verificar que mi consulta de la información es correcta?</w:t>
      </w:r>
    </w:p>
    <w:p w:rsidR="004442B2" w:rsidRPr="004F1987" w:rsidRDefault="004442B2" w:rsidP="004442B2">
      <w:pPr>
        <w:spacing w:after="0" w:line="24" w:lineRule="atLeast"/>
        <w:jc w:val="both"/>
        <w:rPr>
          <w:sz w:val="24"/>
          <w:szCs w:val="24"/>
        </w:rPr>
      </w:pPr>
    </w:p>
    <w:p w:rsidR="004442B2" w:rsidRPr="004F1987" w:rsidRDefault="004442B2" w:rsidP="004442B2">
      <w:pPr>
        <w:jc w:val="both"/>
        <w:rPr>
          <w:sz w:val="24"/>
          <w:szCs w:val="24"/>
        </w:rPr>
      </w:pPr>
      <w:r w:rsidRPr="004F1987">
        <w:rPr>
          <w:sz w:val="24"/>
          <w:szCs w:val="24"/>
        </w:rPr>
        <w:t xml:space="preserve">El Instituto publica de manera mensual estadísticas relativas a su población derechohabiente. Esta información se encuentra disponible en la página de Internet del IMSS en la sección de estadísticas, consulta dinámica de información en </w:t>
      </w:r>
      <w:r w:rsidRPr="004F1987">
        <w:rPr>
          <w:rStyle w:val="Hipervnculo"/>
          <w:sz w:val="24"/>
          <w:szCs w:val="24"/>
        </w:rPr>
        <w:t>http://www.imss.gob.mx/conoce-al-imss/cubos</w:t>
      </w:r>
      <w:r w:rsidRPr="004F1987">
        <w:rPr>
          <w:sz w:val="24"/>
          <w:szCs w:val="24"/>
        </w:rPr>
        <w:t xml:space="preserve"> en medidas de Incorporación y Recaudación.</w:t>
      </w:r>
    </w:p>
    <w:p w:rsidR="00041335" w:rsidRPr="004F1987" w:rsidRDefault="00041335" w:rsidP="00041335">
      <w:pPr>
        <w:spacing w:after="0" w:line="24" w:lineRule="atLeast"/>
        <w:jc w:val="both"/>
        <w:rPr>
          <w:b/>
          <w:sz w:val="24"/>
          <w:szCs w:val="24"/>
        </w:rPr>
      </w:pPr>
      <w:r w:rsidRPr="004F1987">
        <w:rPr>
          <w:b/>
          <w:sz w:val="24"/>
          <w:szCs w:val="24"/>
        </w:rPr>
        <w:t>¿</w:t>
      </w:r>
      <w:r w:rsidRPr="004F1987">
        <w:rPr>
          <w:b/>
          <w:sz w:val="24"/>
          <w:szCs w:val="24"/>
        </w:rPr>
        <w:t>Existe un tutorial que ayude a descargar la información</w:t>
      </w:r>
      <w:r w:rsidRPr="004F1987">
        <w:rPr>
          <w:b/>
          <w:sz w:val="24"/>
          <w:szCs w:val="24"/>
        </w:rPr>
        <w:t>?</w:t>
      </w:r>
    </w:p>
    <w:p w:rsidR="00041335" w:rsidRPr="004F1987" w:rsidRDefault="00041335" w:rsidP="00041335">
      <w:pPr>
        <w:spacing w:after="0" w:line="24" w:lineRule="atLeast"/>
        <w:jc w:val="both"/>
        <w:rPr>
          <w:sz w:val="24"/>
          <w:szCs w:val="24"/>
        </w:rPr>
      </w:pPr>
    </w:p>
    <w:p w:rsidR="00041335" w:rsidRPr="004F1987" w:rsidRDefault="00041335" w:rsidP="00041335">
      <w:pPr>
        <w:jc w:val="both"/>
        <w:rPr>
          <w:sz w:val="24"/>
          <w:szCs w:val="24"/>
        </w:rPr>
      </w:pPr>
      <w:r w:rsidRPr="004F1987">
        <w:rPr>
          <w:sz w:val="24"/>
          <w:szCs w:val="24"/>
        </w:rPr>
        <w:t>Sí. Se reco</w:t>
      </w:r>
      <w:r w:rsidR="00BD7216" w:rsidRPr="004F1987">
        <w:rPr>
          <w:sz w:val="24"/>
          <w:szCs w:val="24"/>
        </w:rPr>
        <w:t>mienda consultar los tutoriales</w:t>
      </w:r>
      <w:r w:rsidRPr="004F1987">
        <w:rPr>
          <w:sz w:val="24"/>
          <w:szCs w:val="24"/>
        </w:rPr>
        <w:t>: “Paso a paso descarga los archivos de datos abiertos de Asegurados”</w:t>
      </w:r>
      <w:r w:rsidRPr="004F1987">
        <w:rPr>
          <w:sz w:val="24"/>
          <w:szCs w:val="24"/>
        </w:rPr>
        <w:t>,</w:t>
      </w:r>
      <w:r w:rsidRPr="004F1987">
        <w:rPr>
          <w:sz w:val="24"/>
          <w:szCs w:val="24"/>
        </w:rPr>
        <w:t xml:space="preserve"> </w:t>
      </w:r>
      <w:r w:rsidRPr="004F1987">
        <w:rPr>
          <w:sz w:val="24"/>
          <w:szCs w:val="24"/>
        </w:rPr>
        <w:t xml:space="preserve">en </w:t>
      </w:r>
      <w:hyperlink r:id="rId13" w:history="1">
        <w:r w:rsidRPr="004F1987">
          <w:rPr>
            <w:rStyle w:val="Hipervnculo"/>
            <w:sz w:val="24"/>
            <w:szCs w:val="24"/>
          </w:rPr>
          <w:t>https://youtu.b</w:t>
        </w:r>
        <w:r w:rsidRPr="004F1987">
          <w:rPr>
            <w:rStyle w:val="Hipervnculo"/>
            <w:sz w:val="24"/>
            <w:szCs w:val="24"/>
          </w:rPr>
          <w:t>e</w:t>
        </w:r>
        <w:r w:rsidRPr="004F1987">
          <w:rPr>
            <w:rStyle w:val="Hipervnculo"/>
            <w:sz w:val="24"/>
            <w:szCs w:val="24"/>
          </w:rPr>
          <w:t>/977G3GM5fTw</w:t>
        </w:r>
      </w:hyperlink>
      <w:r w:rsidRPr="004F1987">
        <w:rPr>
          <w:sz w:val="24"/>
          <w:szCs w:val="24"/>
        </w:rPr>
        <w:t xml:space="preserve">  y </w:t>
      </w:r>
      <w:r w:rsidRPr="004F1987">
        <w:rPr>
          <w:sz w:val="24"/>
          <w:szCs w:val="24"/>
        </w:rPr>
        <w:t>“Paso a paso descarga los archivos de datos abiertos de Población Derechohabiente”</w:t>
      </w:r>
      <w:r w:rsidRPr="004F1987">
        <w:rPr>
          <w:sz w:val="24"/>
          <w:szCs w:val="24"/>
        </w:rPr>
        <w:t xml:space="preserve">, en </w:t>
      </w:r>
      <w:r w:rsidRPr="004F1987">
        <w:rPr>
          <w:sz w:val="24"/>
          <w:szCs w:val="24"/>
        </w:rPr>
        <w:t xml:space="preserve"> </w:t>
      </w:r>
      <w:hyperlink r:id="rId14" w:history="1">
        <w:r w:rsidRPr="004F1987">
          <w:rPr>
            <w:rStyle w:val="Hipervnculo"/>
            <w:sz w:val="24"/>
            <w:szCs w:val="24"/>
          </w:rPr>
          <w:t>https://youtu.be/Ef1GqCqT6Os</w:t>
        </w:r>
      </w:hyperlink>
      <w:r w:rsidRPr="004F1987">
        <w:rPr>
          <w:sz w:val="24"/>
          <w:szCs w:val="24"/>
        </w:rPr>
        <w:t xml:space="preserve"> donde se ilustran dos formas distintas de </w:t>
      </w:r>
      <w:r w:rsidR="00BD7216" w:rsidRPr="004F1987">
        <w:rPr>
          <w:sz w:val="24"/>
          <w:szCs w:val="24"/>
        </w:rPr>
        <w:t>descargar</w:t>
      </w:r>
      <w:r w:rsidRPr="004F1987">
        <w:rPr>
          <w:sz w:val="24"/>
          <w:szCs w:val="24"/>
        </w:rPr>
        <w:t xml:space="preserve"> la información.</w:t>
      </w:r>
    </w:p>
    <w:p w:rsidR="00041335" w:rsidRPr="00CE4E2F" w:rsidRDefault="00041335" w:rsidP="00041335">
      <w:pPr>
        <w:autoSpaceDE w:val="0"/>
        <w:autoSpaceDN w:val="0"/>
        <w:adjustRightInd w:val="0"/>
        <w:spacing w:after="0" w:line="240" w:lineRule="auto"/>
        <w:jc w:val="right"/>
        <w:rPr>
          <w:rFonts w:ascii="Arial" w:hAnsi="Arial" w:cs="Arial"/>
          <w:sz w:val="20"/>
          <w:szCs w:val="20"/>
        </w:rPr>
      </w:pPr>
      <w:r w:rsidRPr="001E05DC">
        <w:rPr>
          <w:rFonts w:ascii="Arial" w:hAnsi="Arial" w:cs="Arial"/>
          <w:sz w:val="16"/>
          <w:szCs w:val="16"/>
        </w:rPr>
        <w:t xml:space="preserve">Última revisión </w:t>
      </w:r>
      <w:r>
        <w:rPr>
          <w:rFonts w:ascii="Arial" w:hAnsi="Arial" w:cs="Arial"/>
          <w:sz w:val="16"/>
          <w:szCs w:val="16"/>
        </w:rPr>
        <w:t>10.11</w:t>
      </w:r>
      <w:r w:rsidRPr="001E05DC">
        <w:rPr>
          <w:rFonts w:ascii="Arial" w:hAnsi="Arial" w:cs="Arial"/>
          <w:sz w:val="16"/>
          <w:szCs w:val="16"/>
        </w:rPr>
        <w:t>.201</w:t>
      </w:r>
      <w:r>
        <w:rPr>
          <w:rFonts w:ascii="Arial" w:hAnsi="Arial" w:cs="Arial"/>
          <w:sz w:val="16"/>
          <w:szCs w:val="16"/>
        </w:rPr>
        <w:t>6</w:t>
      </w:r>
    </w:p>
    <w:p w:rsidR="002D635E" w:rsidRDefault="002D635E" w:rsidP="004442B2">
      <w:pPr>
        <w:jc w:val="both"/>
      </w:pPr>
    </w:p>
    <w:p w:rsidR="00B107E5" w:rsidRDefault="00B107E5" w:rsidP="001B03E7">
      <w:pPr>
        <w:spacing w:after="0" w:line="24" w:lineRule="atLeast"/>
        <w:jc w:val="both"/>
      </w:pPr>
      <w:bookmarkStart w:id="0" w:name="_GoBack"/>
      <w:bookmarkEnd w:id="0"/>
    </w:p>
    <w:sectPr w:rsidR="00B107E5" w:rsidSect="00C75E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7B" w:rsidRDefault="00E6327B" w:rsidP="00C45AD8">
      <w:pPr>
        <w:spacing w:after="0" w:line="240" w:lineRule="auto"/>
      </w:pPr>
      <w:r>
        <w:separator/>
      </w:r>
    </w:p>
  </w:endnote>
  <w:endnote w:type="continuationSeparator" w:id="0">
    <w:p w:rsidR="00E6327B" w:rsidRDefault="00E6327B" w:rsidP="00C4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panose1 w:val="020B04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7B" w:rsidRDefault="00E6327B" w:rsidP="00C45AD8">
      <w:pPr>
        <w:spacing w:after="0" w:line="240" w:lineRule="auto"/>
      </w:pPr>
      <w:r>
        <w:separator/>
      </w:r>
    </w:p>
  </w:footnote>
  <w:footnote w:type="continuationSeparator" w:id="0">
    <w:p w:rsidR="00E6327B" w:rsidRDefault="00E6327B" w:rsidP="00C45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422F"/>
    <w:multiLevelType w:val="hybridMultilevel"/>
    <w:tmpl w:val="6532BC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0822DA8"/>
    <w:multiLevelType w:val="hybridMultilevel"/>
    <w:tmpl w:val="90F80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9A2908"/>
    <w:multiLevelType w:val="hybridMultilevel"/>
    <w:tmpl w:val="9D8C7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E5"/>
    <w:rsid w:val="00034DFD"/>
    <w:rsid w:val="00041335"/>
    <w:rsid w:val="000873A9"/>
    <w:rsid w:val="0009081C"/>
    <w:rsid w:val="000A45F4"/>
    <w:rsid w:val="000A74B5"/>
    <w:rsid w:val="000B6EEB"/>
    <w:rsid w:val="0012339A"/>
    <w:rsid w:val="00125742"/>
    <w:rsid w:val="00153FDB"/>
    <w:rsid w:val="00166E45"/>
    <w:rsid w:val="001726FB"/>
    <w:rsid w:val="001913A4"/>
    <w:rsid w:val="001B03E7"/>
    <w:rsid w:val="002067F5"/>
    <w:rsid w:val="002D635E"/>
    <w:rsid w:val="00322BA1"/>
    <w:rsid w:val="00360EF7"/>
    <w:rsid w:val="003F6A09"/>
    <w:rsid w:val="00401609"/>
    <w:rsid w:val="00401D4C"/>
    <w:rsid w:val="004219DC"/>
    <w:rsid w:val="004442B2"/>
    <w:rsid w:val="00472F1C"/>
    <w:rsid w:val="004A760F"/>
    <w:rsid w:val="004E474B"/>
    <w:rsid w:val="004F1987"/>
    <w:rsid w:val="004F77F6"/>
    <w:rsid w:val="0055124D"/>
    <w:rsid w:val="00565229"/>
    <w:rsid w:val="00566A2C"/>
    <w:rsid w:val="005A242B"/>
    <w:rsid w:val="006079F7"/>
    <w:rsid w:val="00656FCD"/>
    <w:rsid w:val="006C24EF"/>
    <w:rsid w:val="007D3602"/>
    <w:rsid w:val="008723CC"/>
    <w:rsid w:val="00890AF0"/>
    <w:rsid w:val="008C135C"/>
    <w:rsid w:val="008E2C47"/>
    <w:rsid w:val="009558CD"/>
    <w:rsid w:val="00984AAA"/>
    <w:rsid w:val="009B5BB5"/>
    <w:rsid w:val="009B7050"/>
    <w:rsid w:val="009C0342"/>
    <w:rsid w:val="009D0CE0"/>
    <w:rsid w:val="009D7294"/>
    <w:rsid w:val="00A174B2"/>
    <w:rsid w:val="00A356B6"/>
    <w:rsid w:val="00A5227A"/>
    <w:rsid w:val="00A916A8"/>
    <w:rsid w:val="00A97146"/>
    <w:rsid w:val="00B107E5"/>
    <w:rsid w:val="00B67E08"/>
    <w:rsid w:val="00B713A0"/>
    <w:rsid w:val="00B72D6B"/>
    <w:rsid w:val="00B81757"/>
    <w:rsid w:val="00BA4D44"/>
    <w:rsid w:val="00BD2490"/>
    <w:rsid w:val="00BD7216"/>
    <w:rsid w:val="00BF5534"/>
    <w:rsid w:val="00C30EB6"/>
    <w:rsid w:val="00C352EB"/>
    <w:rsid w:val="00C3724A"/>
    <w:rsid w:val="00C45AD8"/>
    <w:rsid w:val="00C62616"/>
    <w:rsid w:val="00C75E25"/>
    <w:rsid w:val="00CC242D"/>
    <w:rsid w:val="00D03370"/>
    <w:rsid w:val="00D21FDE"/>
    <w:rsid w:val="00D53384"/>
    <w:rsid w:val="00D755AE"/>
    <w:rsid w:val="00D86933"/>
    <w:rsid w:val="00D86F0A"/>
    <w:rsid w:val="00DC6FF5"/>
    <w:rsid w:val="00E07087"/>
    <w:rsid w:val="00E148CE"/>
    <w:rsid w:val="00E3685D"/>
    <w:rsid w:val="00E550A9"/>
    <w:rsid w:val="00E6327B"/>
    <w:rsid w:val="00E74F05"/>
    <w:rsid w:val="00EC5578"/>
    <w:rsid w:val="00F10568"/>
    <w:rsid w:val="00F167DC"/>
    <w:rsid w:val="00F3472B"/>
    <w:rsid w:val="00F64D2C"/>
    <w:rsid w:val="00F7169C"/>
    <w:rsid w:val="00FA1DC4"/>
    <w:rsid w:val="00FF37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07E5"/>
    <w:pPr>
      <w:ind w:left="720"/>
      <w:contextualSpacing/>
    </w:pPr>
  </w:style>
  <w:style w:type="character" w:styleId="Hipervnculo">
    <w:name w:val="Hyperlink"/>
    <w:basedOn w:val="Fuentedeprrafopredeter"/>
    <w:uiPriority w:val="99"/>
    <w:unhideWhenUsed/>
    <w:rsid w:val="00DC6FF5"/>
    <w:rPr>
      <w:color w:val="0000FF" w:themeColor="hyperlink"/>
      <w:u w:val="single"/>
    </w:rPr>
  </w:style>
  <w:style w:type="paragraph" w:styleId="Textodeglobo">
    <w:name w:val="Balloon Text"/>
    <w:basedOn w:val="Normal"/>
    <w:link w:val="TextodegloboCar"/>
    <w:uiPriority w:val="99"/>
    <w:semiHidden/>
    <w:unhideWhenUsed/>
    <w:rsid w:val="00C45A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AD8"/>
    <w:rPr>
      <w:rFonts w:ascii="Tahoma" w:hAnsi="Tahoma" w:cs="Tahoma"/>
      <w:sz w:val="16"/>
      <w:szCs w:val="16"/>
    </w:rPr>
  </w:style>
  <w:style w:type="paragraph" w:styleId="Textonotapie">
    <w:name w:val="footnote text"/>
    <w:basedOn w:val="Normal"/>
    <w:link w:val="TextonotapieCar"/>
    <w:uiPriority w:val="99"/>
    <w:semiHidden/>
    <w:unhideWhenUsed/>
    <w:rsid w:val="00C45AD8"/>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C45AD8"/>
    <w:rPr>
      <w:rFonts w:eastAsiaTheme="minorHAnsi"/>
      <w:sz w:val="20"/>
      <w:szCs w:val="20"/>
      <w:lang w:eastAsia="en-US"/>
    </w:rPr>
  </w:style>
  <w:style w:type="character" w:styleId="Refdenotaalpie">
    <w:name w:val="footnote reference"/>
    <w:basedOn w:val="Fuentedeprrafopredeter"/>
    <w:uiPriority w:val="99"/>
    <w:semiHidden/>
    <w:unhideWhenUsed/>
    <w:rsid w:val="00C45AD8"/>
    <w:rPr>
      <w:vertAlign w:val="superscript"/>
    </w:rPr>
  </w:style>
  <w:style w:type="character" w:styleId="Refdecomentario">
    <w:name w:val="annotation reference"/>
    <w:basedOn w:val="Fuentedeprrafopredeter"/>
    <w:uiPriority w:val="99"/>
    <w:semiHidden/>
    <w:unhideWhenUsed/>
    <w:rsid w:val="004A760F"/>
    <w:rPr>
      <w:sz w:val="16"/>
      <w:szCs w:val="16"/>
    </w:rPr>
  </w:style>
  <w:style w:type="paragraph" w:styleId="Textocomentario">
    <w:name w:val="annotation text"/>
    <w:basedOn w:val="Normal"/>
    <w:link w:val="TextocomentarioCar"/>
    <w:uiPriority w:val="99"/>
    <w:semiHidden/>
    <w:unhideWhenUsed/>
    <w:rsid w:val="004A76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60F"/>
    <w:rPr>
      <w:sz w:val="20"/>
      <w:szCs w:val="20"/>
    </w:rPr>
  </w:style>
  <w:style w:type="paragraph" w:styleId="Asuntodelcomentario">
    <w:name w:val="annotation subject"/>
    <w:basedOn w:val="Textocomentario"/>
    <w:next w:val="Textocomentario"/>
    <w:link w:val="AsuntodelcomentarioCar"/>
    <w:uiPriority w:val="99"/>
    <w:semiHidden/>
    <w:unhideWhenUsed/>
    <w:rsid w:val="004A760F"/>
    <w:rPr>
      <w:b/>
      <w:bCs/>
    </w:rPr>
  </w:style>
  <w:style w:type="character" w:customStyle="1" w:styleId="AsuntodelcomentarioCar">
    <w:name w:val="Asunto del comentario Car"/>
    <w:basedOn w:val="TextocomentarioCar"/>
    <w:link w:val="Asuntodelcomentario"/>
    <w:uiPriority w:val="99"/>
    <w:semiHidden/>
    <w:rsid w:val="004A760F"/>
    <w:rPr>
      <w:b/>
      <w:bCs/>
      <w:sz w:val="20"/>
      <w:szCs w:val="20"/>
    </w:rPr>
  </w:style>
  <w:style w:type="character" w:styleId="Hipervnculovisitado">
    <w:name w:val="FollowedHyperlink"/>
    <w:basedOn w:val="Fuentedeprrafopredeter"/>
    <w:uiPriority w:val="99"/>
    <w:semiHidden/>
    <w:unhideWhenUsed/>
    <w:rsid w:val="00D755AE"/>
    <w:rPr>
      <w:color w:val="800080" w:themeColor="followedHyperlink"/>
      <w:u w:val="single"/>
    </w:rPr>
  </w:style>
  <w:style w:type="paragraph" w:customStyle="1" w:styleId="Fuente">
    <w:name w:val="Fuente"/>
    <w:basedOn w:val="Normal"/>
    <w:uiPriority w:val="99"/>
    <w:rsid w:val="00D03370"/>
    <w:pPr>
      <w:autoSpaceDE w:val="0"/>
      <w:autoSpaceDN w:val="0"/>
      <w:spacing w:after="0" w:line="200" w:lineRule="atLeast"/>
      <w:jc w:val="both"/>
    </w:pPr>
    <w:rPr>
      <w:rFonts w:ascii="Helvetica LT Std Light" w:eastAsia="Calibri" w:hAnsi="Helvetica LT Std Light" w:cs="Times New Roman"/>
      <w:color w:val="000000"/>
      <w:sz w:val="14"/>
      <w:szCs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07E5"/>
    <w:pPr>
      <w:ind w:left="720"/>
      <w:contextualSpacing/>
    </w:pPr>
  </w:style>
  <w:style w:type="character" w:styleId="Hipervnculo">
    <w:name w:val="Hyperlink"/>
    <w:basedOn w:val="Fuentedeprrafopredeter"/>
    <w:uiPriority w:val="99"/>
    <w:unhideWhenUsed/>
    <w:rsid w:val="00DC6FF5"/>
    <w:rPr>
      <w:color w:val="0000FF" w:themeColor="hyperlink"/>
      <w:u w:val="single"/>
    </w:rPr>
  </w:style>
  <w:style w:type="paragraph" w:styleId="Textodeglobo">
    <w:name w:val="Balloon Text"/>
    <w:basedOn w:val="Normal"/>
    <w:link w:val="TextodegloboCar"/>
    <w:uiPriority w:val="99"/>
    <w:semiHidden/>
    <w:unhideWhenUsed/>
    <w:rsid w:val="00C45A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5AD8"/>
    <w:rPr>
      <w:rFonts w:ascii="Tahoma" w:hAnsi="Tahoma" w:cs="Tahoma"/>
      <w:sz w:val="16"/>
      <w:szCs w:val="16"/>
    </w:rPr>
  </w:style>
  <w:style w:type="paragraph" w:styleId="Textonotapie">
    <w:name w:val="footnote text"/>
    <w:basedOn w:val="Normal"/>
    <w:link w:val="TextonotapieCar"/>
    <w:uiPriority w:val="99"/>
    <w:semiHidden/>
    <w:unhideWhenUsed/>
    <w:rsid w:val="00C45AD8"/>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C45AD8"/>
    <w:rPr>
      <w:rFonts w:eastAsiaTheme="minorHAnsi"/>
      <w:sz w:val="20"/>
      <w:szCs w:val="20"/>
      <w:lang w:eastAsia="en-US"/>
    </w:rPr>
  </w:style>
  <w:style w:type="character" w:styleId="Refdenotaalpie">
    <w:name w:val="footnote reference"/>
    <w:basedOn w:val="Fuentedeprrafopredeter"/>
    <w:uiPriority w:val="99"/>
    <w:semiHidden/>
    <w:unhideWhenUsed/>
    <w:rsid w:val="00C45AD8"/>
    <w:rPr>
      <w:vertAlign w:val="superscript"/>
    </w:rPr>
  </w:style>
  <w:style w:type="character" w:styleId="Refdecomentario">
    <w:name w:val="annotation reference"/>
    <w:basedOn w:val="Fuentedeprrafopredeter"/>
    <w:uiPriority w:val="99"/>
    <w:semiHidden/>
    <w:unhideWhenUsed/>
    <w:rsid w:val="004A760F"/>
    <w:rPr>
      <w:sz w:val="16"/>
      <w:szCs w:val="16"/>
    </w:rPr>
  </w:style>
  <w:style w:type="paragraph" w:styleId="Textocomentario">
    <w:name w:val="annotation text"/>
    <w:basedOn w:val="Normal"/>
    <w:link w:val="TextocomentarioCar"/>
    <w:uiPriority w:val="99"/>
    <w:semiHidden/>
    <w:unhideWhenUsed/>
    <w:rsid w:val="004A76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60F"/>
    <w:rPr>
      <w:sz w:val="20"/>
      <w:szCs w:val="20"/>
    </w:rPr>
  </w:style>
  <w:style w:type="paragraph" w:styleId="Asuntodelcomentario">
    <w:name w:val="annotation subject"/>
    <w:basedOn w:val="Textocomentario"/>
    <w:next w:val="Textocomentario"/>
    <w:link w:val="AsuntodelcomentarioCar"/>
    <w:uiPriority w:val="99"/>
    <w:semiHidden/>
    <w:unhideWhenUsed/>
    <w:rsid w:val="004A760F"/>
    <w:rPr>
      <w:b/>
      <w:bCs/>
    </w:rPr>
  </w:style>
  <w:style w:type="character" w:customStyle="1" w:styleId="AsuntodelcomentarioCar">
    <w:name w:val="Asunto del comentario Car"/>
    <w:basedOn w:val="TextocomentarioCar"/>
    <w:link w:val="Asuntodelcomentario"/>
    <w:uiPriority w:val="99"/>
    <w:semiHidden/>
    <w:rsid w:val="004A760F"/>
    <w:rPr>
      <w:b/>
      <w:bCs/>
      <w:sz w:val="20"/>
      <w:szCs w:val="20"/>
    </w:rPr>
  </w:style>
  <w:style w:type="character" w:styleId="Hipervnculovisitado">
    <w:name w:val="FollowedHyperlink"/>
    <w:basedOn w:val="Fuentedeprrafopredeter"/>
    <w:uiPriority w:val="99"/>
    <w:semiHidden/>
    <w:unhideWhenUsed/>
    <w:rsid w:val="00D755AE"/>
    <w:rPr>
      <w:color w:val="800080" w:themeColor="followedHyperlink"/>
      <w:u w:val="single"/>
    </w:rPr>
  </w:style>
  <w:style w:type="paragraph" w:customStyle="1" w:styleId="Fuente">
    <w:name w:val="Fuente"/>
    <w:basedOn w:val="Normal"/>
    <w:uiPriority w:val="99"/>
    <w:rsid w:val="00D03370"/>
    <w:pPr>
      <w:autoSpaceDE w:val="0"/>
      <w:autoSpaceDN w:val="0"/>
      <w:spacing w:after="0" w:line="200" w:lineRule="atLeast"/>
      <w:jc w:val="both"/>
    </w:pPr>
    <w:rPr>
      <w:rFonts w:ascii="Helvetica LT Std Light" w:eastAsia="Calibri" w:hAnsi="Helvetica LT Std Light" w:cs="Times New Roman"/>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977G3GM5fT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imss.gob.mx/group/poblacion-derechohabiente-adscrita-p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imss.gob.mx/group/poblacion-derechohabiente-adscrita-pd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mss.gob.mx/directorio/Pages/Instalaciones" TargetMode="External"/><Relationship Id="rId4" Type="http://schemas.microsoft.com/office/2007/relationships/stylesWithEffects" Target="stylesWithEffects.xml"/><Relationship Id="rId9" Type="http://schemas.openxmlformats.org/officeDocument/2006/relationships/hyperlink" Target="http://www2.imss.gob.mx/group/poblacion-derechohabiente-adscrita-pda" TargetMode="External"/><Relationship Id="rId14" Type="http://schemas.openxmlformats.org/officeDocument/2006/relationships/hyperlink" Target="https://youtu.be/Ef1GqCqT6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9A4C0E-59DC-49DB-9F98-260A880B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eduardo.alcarazp</dc:creator>
  <cp:lastModifiedBy>Karina Torres Cuevas</cp:lastModifiedBy>
  <cp:revision>5</cp:revision>
  <dcterms:created xsi:type="dcterms:W3CDTF">2016-11-11T00:12:00Z</dcterms:created>
  <dcterms:modified xsi:type="dcterms:W3CDTF">2016-11-11T02:17:00Z</dcterms:modified>
</cp:coreProperties>
</file>